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6E" w:rsidRPr="007D1D6E" w:rsidRDefault="007D1D6E" w:rsidP="007D1D6E">
      <w:pPr>
        <w:spacing w:after="0" w:line="240" w:lineRule="auto"/>
        <w:ind w:left="-567" w:right="-284" w:firstLine="567"/>
        <w:rPr>
          <w:rFonts w:ascii="Times New Roman" w:hAnsi="Times New Roman" w:cs="Times New Roman"/>
          <w:sz w:val="24"/>
          <w:szCs w:val="24"/>
        </w:rPr>
      </w:pPr>
    </w:p>
    <w:p w:rsidR="007D1D6E" w:rsidRPr="007D1D6E" w:rsidRDefault="007D1D6E" w:rsidP="007D1D6E">
      <w:pPr>
        <w:keepNext/>
        <w:keepLines/>
        <w:pBdr>
          <w:bottom w:val="single" w:sz="6" w:space="19" w:color="D1181A"/>
        </w:pBdr>
        <w:spacing w:after="0" w:line="240" w:lineRule="auto"/>
        <w:ind w:left="-567" w:right="-284" w:firstLine="567"/>
        <w:outlineLvl w:val="0"/>
        <w:rPr>
          <w:rFonts w:ascii="Times New Roman" w:eastAsiaTheme="majorEastAsia" w:hAnsi="Times New Roman" w:cs="Times New Roman"/>
          <w:b/>
          <w:sz w:val="24"/>
          <w:szCs w:val="24"/>
        </w:rPr>
      </w:pPr>
      <w:r w:rsidRPr="007D1D6E">
        <w:rPr>
          <w:rFonts w:ascii="Times New Roman" w:eastAsiaTheme="majorEastAsia" w:hAnsi="Times New Roman" w:cs="Times New Roman"/>
          <w:b/>
          <w:sz w:val="24"/>
          <w:szCs w:val="24"/>
        </w:rPr>
        <w:t>Задолженность по коммунальным платежам, образовавшаяся у предыдущего собственника жилого помещения, не переводится на нового собственника квартиры, купившего ее. Добровольно погашенная чужая задолженность может быть взыскана судом как неосновательное обогащение управляющей организации</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Верховным Судом Российской Федерации в Определении от 22.11.2016 № 5-КГ-160 указано, что задолженность по коммунальным платежам, образовавшаяся у предыдущего собственника жилого помещения, не переводится на нового собственника квартиры, купившего ее. Добровольно погашенная чужая задолженность может быть взыскана судом как неосновательное обогащение управляющей организации.</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К. купил ½ долю в квартире, после чего выяснилось, что прежние собственники имеют долг по оплате жилищно-коммунальных услуг. К. при предъявлении ему требований о погашении задолженности извещал управляющую организацию о том, что это долг предыдущих владельцев жилья.</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Управляющая компания уведомила К. об ограничении водоотведения в случае неуплаты всей суммы задолженности в ближайшие дни. С учетом невозможности проживания в квартире с ограниченным водоотведением К. во избежание подобных последствий перечислил управляющей организации требуемые средства и затем обратился в суд с иском об их взыскании с ответчика как неосновательного обогащения.</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Суды трех инстанций встали на сторону гражданина, посчитав его права нарушенными и подлежащими восстановлению.</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Согласно </w:t>
      </w:r>
      <w:hyperlink r:id="rId5" w:history="1">
        <w:r w:rsidRPr="007D1D6E">
          <w:rPr>
            <w:rFonts w:ascii="Times New Roman" w:eastAsia="Times New Roman" w:hAnsi="Times New Roman" w:cs="Times New Roman"/>
            <w:sz w:val="24"/>
            <w:szCs w:val="24"/>
            <w:lang w:eastAsia="ru-RU"/>
          </w:rPr>
          <w:t>пункту 1 </w:t>
        </w:r>
      </w:hyperlink>
      <w:hyperlink r:id="rId6" w:tgtFrame="_blank" w:history="1">
        <w:r w:rsidRPr="007D1D6E">
          <w:rPr>
            <w:rFonts w:ascii="Times New Roman" w:eastAsia="Times New Roman" w:hAnsi="Times New Roman" w:cs="Times New Roman"/>
            <w:sz w:val="24"/>
            <w:szCs w:val="24"/>
            <w:lang w:eastAsia="ru-RU"/>
          </w:rPr>
          <w:t>статьи 1102</w:t>
        </w:r>
      </w:hyperlink>
      <w:r w:rsidRPr="007D1D6E">
        <w:rPr>
          <w:rFonts w:ascii="Times New Roman" w:eastAsia="Times New Roman" w:hAnsi="Times New Roman" w:cs="Times New Roman"/>
          <w:sz w:val="24"/>
          <w:szCs w:val="24"/>
          <w:lang w:eastAsia="ru-RU"/>
        </w:rPr>
        <w:t> </w:t>
      </w:r>
      <w:hyperlink r:id="rId7" w:history="1">
        <w:r w:rsidRPr="007D1D6E">
          <w:rPr>
            <w:rFonts w:ascii="Times New Roman" w:eastAsia="Times New Roman" w:hAnsi="Times New Roman" w:cs="Times New Roman"/>
            <w:sz w:val="24"/>
            <w:szCs w:val="24"/>
            <w:lang w:eastAsia="ru-RU"/>
          </w:rPr>
          <w:t>Гражданского кодекса РФ</w:t>
        </w:r>
      </w:hyperlink>
      <w:r w:rsidRPr="007D1D6E">
        <w:rPr>
          <w:rFonts w:ascii="Times New Roman" w:eastAsia="Times New Roman" w:hAnsi="Times New Roman" w:cs="Times New Roman"/>
          <w:sz w:val="24"/>
          <w:szCs w:val="24"/>
          <w:lang w:eastAsia="ru-RU"/>
        </w:rPr>
        <w:t>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8" w:tgtFrame="_blank" w:history="1">
        <w:r w:rsidRPr="007D1D6E">
          <w:rPr>
            <w:rFonts w:ascii="Times New Roman" w:eastAsia="Times New Roman" w:hAnsi="Times New Roman" w:cs="Times New Roman"/>
            <w:sz w:val="24"/>
            <w:szCs w:val="24"/>
            <w:lang w:eastAsia="ru-RU"/>
          </w:rPr>
          <w:t>статьей 1109</w:t>
        </w:r>
      </w:hyperlink>
      <w:r w:rsidRPr="007D1D6E">
        <w:rPr>
          <w:rFonts w:ascii="Times New Roman" w:eastAsia="Times New Roman" w:hAnsi="Times New Roman" w:cs="Times New Roman"/>
          <w:sz w:val="24"/>
          <w:szCs w:val="24"/>
          <w:lang w:eastAsia="ru-RU"/>
        </w:rPr>
        <w:t> </w:t>
      </w:r>
      <w:hyperlink r:id="rId9" w:history="1">
        <w:r w:rsidRPr="007D1D6E">
          <w:rPr>
            <w:rFonts w:ascii="Times New Roman" w:eastAsia="Times New Roman" w:hAnsi="Times New Roman" w:cs="Times New Roman"/>
            <w:sz w:val="24"/>
            <w:szCs w:val="24"/>
            <w:lang w:eastAsia="ru-RU"/>
          </w:rPr>
          <w:t>Гражданского кодекса РФ.</w:t>
        </w:r>
      </w:hyperlink>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В силу </w:t>
      </w:r>
      <w:hyperlink r:id="rId10" w:history="1">
        <w:r w:rsidRPr="007D1D6E">
          <w:rPr>
            <w:rFonts w:ascii="Times New Roman" w:eastAsia="Times New Roman" w:hAnsi="Times New Roman" w:cs="Times New Roman"/>
            <w:sz w:val="24"/>
            <w:szCs w:val="24"/>
            <w:lang w:eastAsia="ru-RU"/>
          </w:rPr>
          <w:t>пункта 4 статьи 1109</w:t>
        </w:r>
      </w:hyperlink>
      <w:r w:rsidRPr="007D1D6E">
        <w:rPr>
          <w:rFonts w:ascii="Times New Roman" w:eastAsia="Times New Roman" w:hAnsi="Times New Roman" w:cs="Times New Roman"/>
          <w:sz w:val="24"/>
          <w:szCs w:val="24"/>
          <w:lang w:eastAsia="ru-RU"/>
        </w:rPr>
        <w:t> названного Кодекса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Как указал Верховный Суд РФ, по смыслу этих норм, не подлежат возврату в качестве неосновательного обогащения денежные средства, уплаченные сознательно и добровольно лицом, знающим об отсутствии у него такой обязанности.</w:t>
      </w:r>
    </w:p>
    <w:p w:rsidR="007D1D6E" w:rsidRPr="007D1D6E" w:rsidRDefault="007D1D6E" w:rsidP="007D1D6E">
      <w:pPr>
        <w:shd w:val="clear" w:color="auto" w:fill="FFFFFF"/>
        <w:spacing w:after="0" w:line="240" w:lineRule="auto"/>
        <w:ind w:left="-567" w:right="-284" w:firstLine="567"/>
        <w:jc w:val="both"/>
        <w:rPr>
          <w:rFonts w:ascii="Times New Roman" w:eastAsia="Times New Roman" w:hAnsi="Times New Roman" w:cs="Times New Roman"/>
          <w:sz w:val="24"/>
          <w:szCs w:val="24"/>
          <w:lang w:eastAsia="ru-RU"/>
        </w:rPr>
      </w:pPr>
      <w:r w:rsidRPr="007D1D6E">
        <w:rPr>
          <w:rFonts w:ascii="Times New Roman" w:eastAsia="Times New Roman" w:hAnsi="Times New Roman" w:cs="Times New Roman"/>
          <w:sz w:val="24"/>
          <w:szCs w:val="24"/>
          <w:lang w:eastAsia="ru-RU"/>
        </w:rPr>
        <w:t>Довод управляющей компании о том, что К. сознательно и добровольно (в целях благотворительности) уплатил чужой долг, во внимание не принят, поскольку перечисление сре</w:t>
      </w:r>
      <w:proofErr w:type="gramStart"/>
      <w:r w:rsidRPr="007D1D6E">
        <w:rPr>
          <w:rFonts w:ascii="Times New Roman" w:eastAsia="Times New Roman" w:hAnsi="Times New Roman" w:cs="Times New Roman"/>
          <w:sz w:val="24"/>
          <w:szCs w:val="24"/>
          <w:lang w:eastAsia="ru-RU"/>
        </w:rPr>
        <w:t>дств пр</w:t>
      </w:r>
      <w:proofErr w:type="gramEnd"/>
      <w:r w:rsidRPr="007D1D6E">
        <w:rPr>
          <w:rFonts w:ascii="Times New Roman" w:eastAsia="Times New Roman" w:hAnsi="Times New Roman" w:cs="Times New Roman"/>
          <w:sz w:val="24"/>
          <w:szCs w:val="24"/>
          <w:lang w:eastAsia="ru-RU"/>
        </w:rPr>
        <w:t>оизведено истцом вынужденно, после предупреждения ответчика о прекращении водоотведения из квартиры (отключении канализации).</w:t>
      </w:r>
    </w:p>
    <w:p w:rsidR="00BF1099" w:rsidRPr="007D1D6E" w:rsidRDefault="00F252D5" w:rsidP="007D1D6E">
      <w:pPr>
        <w:spacing w:after="0" w:line="240" w:lineRule="auto"/>
        <w:ind w:left="-567" w:right="-284" w:firstLine="567"/>
        <w:rPr>
          <w:rFonts w:ascii="Times New Roman" w:hAnsi="Times New Roman" w:cs="Times New Roman"/>
          <w:sz w:val="24"/>
          <w:szCs w:val="24"/>
        </w:rPr>
      </w:pPr>
      <w:r>
        <w:rPr>
          <w:rFonts w:ascii="Times New Roman" w:hAnsi="Times New Roman" w:cs="Times New Roman"/>
          <w:sz w:val="24"/>
          <w:szCs w:val="24"/>
        </w:rPr>
        <w:t>28.03.2017</w:t>
      </w:r>
      <w:bookmarkStart w:id="0" w:name="_GoBack"/>
      <w:bookmarkEnd w:id="0"/>
    </w:p>
    <w:sectPr w:rsidR="00BF1099" w:rsidRPr="007D1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6E"/>
    <w:rsid w:val="00451133"/>
    <w:rsid w:val="004C40DD"/>
    <w:rsid w:val="007D1D6E"/>
    <w:rsid w:val="00F2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grazhdanskij-kodeks/chast-2/statja-1109" TargetMode="External"/><Relationship Id="rId3" Type="http://schemas.openxmlformats.org/officeDocument/2006/relationships/settings" Target="settings.xml"/><Relationship Id="rId7" Type="http://schemas.openxmlformats.org/officeDocument/2006/relationships/hyperlink" Target="http://zakonbase.ru/grazhdanskij-kodeks/chast-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base.ru/grazhdanskij-kodeks/chast-2/statja-1102" TargetMode="External"/><Relationship Id="rId11" Type="http://schemas.openxmlformats.org/officeDocument/2006/relationships/fontTable" Target="fontTable.xml"/><Relationship Id="rId5" Type="http://schemas.openxmlformats.org/officeDocument/2006/relationships/hyperlink" Target="consultantplus://offline/ref=36AFC037329F0852F7F97B9D565879E3E6F7FE6C5C569345AF6BF703371D1772CE4650C772D3F584RCJ8J" TargetMode="External"/><Relationship Id="rId10" Type="http://schemas.openxmlformats.org/officeDocument/2006/relationships/hyperlink" Target="consultantplus://offline/ref=36AFC037329F0852F7F97B9D565879E3E6F7FE6C5C569345AF6BF703371D1772CE4650C772D3F58ARCJ2J" TargetMode="External"/><Relationship Id="rId4" Type="http://schemas.openxmlformats.org/officeDocument/2006/relationships/webSettings" Target="webSettings.xml"/><Relationship Id="rId9" Type="http://schemas.openxmlformats.org/officeDocument/2006/relationships/hyperlink" Target="http://zakonbase.ru/grazhdanskij-kodeks/chas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dcterms:created xsi:type="dcterms:W3CDTF">2017-03-29T07:41:00Z</dcterms:created>
  <dcterms:modified xsi:type="dcterms:W3CDTF">2017-03-29T07:41:00Z</dcterms:modified>
</cp:coreProperties>
</file>